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90" w:rsidRDefault="00131A90" w:rsidP="00131A90">
      <w:pPr>
        <w:rPr>
          <w:b/>
          <w:sz w:val="20"/>
          <w:lang w:val="en-US"/>
        </w:rPr>
      </w:pPr>
      <w:r>
        <w:rPr>
          <w:b/>
          <w:sz w:val="20"/>
          <w:lang w:val="en-US"/>
        </w:rPr>
        <w:t>Annex III</w:t>
      </w:r>
    </w:p>
    <w:p w:rsidR="00131A90" w:rsidRDefault="00131A90" w:rsidP="00131A90">
      <w:pPr>
        <w:rPr>
          <w:b/>
          <w:sz w:val="20"/>
          <w:lang w:val="en-US"/>
        </w:rPr>
      </w:pPr>
    </w:p>
    <w:p w:rsidR="001B3FA1" w:rsidRPr="00D62A2B" w:rsidRDefault="00473BB5" w:rsidP="00473BB5">
      <w:pPr>
        <w:rPr>
          <w:b/>
          <w:sz w:val="20"/>
          <w:lang w:val="en-US"/>
        </w:rPr>
      </w:pPr>
      <w:r w:rsidRPr="00D62A2B">
        <w:rPr>
          <w:b/>
          <w:sz w:val="20"/>
          <w:lang w:val="en-US"/>
        </w:rPr>
        <w:t>S.15.02</w:t>
      </w:r>
      <w:r w:rsidR="001B3FA1" w:rsidRPr="00D62A2B">
        <w:rPr>
          <w:b/>
          <w:sz w:val="20"/>
          <w:lang w:val="en-US"/>
        </w:rPr>
        <w:t xml:space="preserve"> - Only for Variable Annuities - Hedging of guarantees</w:t>
      </w:r>
    </w:p>
    <w:p w:rsidR="001B3FA1" w:rsidRPr="00D62A2B" w:rsidRDefault="001B3FA1" w:rsidP="00473BB5">
      <w:pPr>
        <w:rPr>
          <w:b/>
          <w:sz w:val="20"/>
          <w:lang w:val="en-US"/>
        </w:rPr>
      </w:pPr>
    </w:p>
    <w:p w:rsidR="001B3FA1" w:rsidRPr="00D62A2B" w:rsidRDefault="001B3FA1" w:rsidP="001B3FA1">
      <w:pPr>
        <w:rPr>
          <w:b/>
          <w:bCs/>
          <w:sz w:val="20"/>
          <w:lang w:val="en-US"/>
        </w:rPr>
      </w:pPr>
      <w:r w:rsidRPr="00D62A2B">
        <w:rPr>
          <w:b/>
          <w:bCs/>
          <w:sz w:val="20"/>
          <w:lang w:val="en-US"/>
        </w:rPr>
        <w:t>General comments:</w:t>
      </w:r>
    </w:p>
    <w:p w:rsidR="00657498" w:rsidRPr="00D62A2B" w:rsidRDefault="00657498" w:rsidP="001B3FA1">
      <w:pPr>
        <w:rPr>
          <w:b/>
          <w:bCs/>
          <w:sz w:val="20"/>
          <w:highlight w:val="yellow"/>
          <w:lang w:val="en-US"/>
        </w:rPr>
      </w:pPr>
    </w:p>
    <w:p w:rsidR="00657498" w:rsidRPr="00D62A2B" w:rsidRDefault="00657498" w:rsidP="00657498">
      <w:pPr>
        <w:spacing w:line="276" w:lineRule="auto"/>
        <w:jc w:val="both"/>
        <w:rPr>
          <w:sz w:val="20"/>
          <w:lang w:val="en-US"/>
        </w:rPr>
      </w:pPr>
      <w:r w:rsidRPr="00D62A2B">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657498" w:rsidRPr="00D62A2B" w:rsidRDefault="00657498" w:rsidP="001B3FA1">
      <w:pPr>
        <w:rPr>
          <w:sz w:val="20"/>
          <w:highlight w:val="yellow"/>
          <w:lang w:val="en-US"/>
        </w:rPr>
      </w:pPr>
    </w:p>
    <w:p w:rsidR="002A6E34" w:rsidRDefault="002A6E34" w:rsidP="002A6E34">
      <w:pPr>
        <w:spacing w:line="276" w:lineRule="auto"/>
        <w:jc w:val="both"/>
        <w:rPr>
          <w:sz w:val="20"/>
          <w:lang w:val="en-US"/>
        </w:rPr>
      </w:pPr>
      <w:r>
        <w:rPr>
          <w:sz w:val="20"/>
          <w:lang w:val="en-US"/>
        </w:rPr>
        <w:t>This annex relates to annual submission of information for groups.</w:t>
      </w:r>
    </w:p>
    <w:p w:rsidR="002A6E34" w:rsidRDefault="002A6E34" w:rsidP="005F213F">
      <w:pPr>
        <w:rPr>
          <w:sz w:val="20"/>
          <w:lang w:val="en-US"/>
        </w:rPr>
      </w:pPr>
    </w:p>
    <w:p w:rsidR="005F213F" w:rsidRPr="00C25BDE" w:rsidRDefault="005F213F" w:rsidP="005F213F">
      <w:pPr>
        <w:rPr>
          <w:sz w:val="20"/>
          <w:lang w:val="en-US"/>
        </w:rPr>
      </w:pPr>
      <w:r>
        <w:rPr>
          <w:sz w:val="20"/>
          <w:lang w:val="en-US"/>
        </w:rPr>
        <w:t>This t</w:t>
      </w:r>
      <w:r w:rsidRPr="00C25BDE">
        <w:rPr>
          <w:sz w:val="20"/>
          <w:lang w:val="en-US"/>
        </w:rPr>
        <w:t xml:space="preserve">emplate </w:t>
      </w:r>
      <w:r>
        <w:rPr>
          <w:sz w:val="20"/>
          <w:lang w:val="en-US"/>
        </w:rPr>
        <w:t>shall</w:t>
      </w:r>
      <w:r w:rsidRPr="00C25BDE">
        <w:rPr>
          <w:sz w:val="20"/>
          <w:lang w:val="en-US"/>
        </w:rPr>
        <w:t xml:space="preserve"> only be </w:t>
      </w:r>
      <w:r>
        <w:rPr>
          <w:sz w:val="20"/>
          <w:lang w:val="en-US"/>
        </w:rPr>
        <w:t>reported</w:t>
      </w:r>
      <w:r w:rsidRPr="00C25BDE">
        <w:rPr>
          <w:sz w:val="20"/>
          <w:lang w:val="en-US"/>
        </w:rPr>
        <w:t xml:space="preserve"> by groups</w:t>
      </w:r>
      <w:r>
        <w:rPr>
          <w:sz w:val="20"/>
          <w:lang w:val="en-US"/>
        </w:rPr>
        <w:t xml:space="preserve"> only in relation to the </w:t>
      </w:r>
      <w:r w:rsidRPr="00C25BDE">
        <w:rPr>
          <w:sz w:val="20"/>
          <w:lang w:val="en-US"/>
        </w:rPr>
        <w:t>direct business</w:t>
      </w:r>
      <w:r>
        <w:rPr>
          <w:sz w:val="20"/>
          <w:lang w:val="en-US"/>
        </w:rPr>
        <w:t xml:space="preserve"> </w:t>
      </w:r>
      <w:r w:rsidRPr="00C25BDE">
        <w:rPr>
          <w:sz w:val="20"/>
          <w:lang w:val="en-US"/>
        </w:rPr>
        <w:t>for those enti</w:t>
      </w:r>
      <w:r>
        <w:rPr>
          <w:sz w:val="20"/>
          <w:lang w:val="en-US"/>
        </w:rPr>
        <w:t>ties outside the EEA that have v</w:t>
      </w:r>
      <w:r w:rsidRPr="00C25BDE">
        <w:rPr>
          <w:sz w:val="20"/>
          <w:lang w:val="en-US"/>
        </w:rPr>
        <w:t xml:space="preserve">ariable </w:t>
      </w:r>
      <w:r>
        <w:rPr>
          <w:sz w:val="20"/>
          <w:lang w:val="en-US"/>
        </w:rPr>
        <w:t>a</w:t>
      </w:r>
      <w:r w:rsidRPr="00C25BDE">
        <w:rPr>
          <w:sz w:val="20"/>
          <w:lang w:val="en-US"/>
        </w:rPr>
        <w:t>nnuities portfolios.</w:t>
      </w:r>
    </w:p>
    <w:p w:rsidR="005F213F" w:rsidRDefault="005F213F" w:rsidP="00657498">
      <w:pPr>
        <w:jc w:val="both"/>
        <w:rPr>
          <w:sz w:val="20"/>
          <w:lang w:val="en-US"/>
        </w:rPr>
      </w:pPr>
    </w:p>
    <w:p w:rsidR="00657498" w:rsidRPr="002D3BD6" w:rsidRDefault="00657498" w:rsidP="00657498">
      <w:pPr>
        <w:jc w:val="both"/>
        <w:rPr>
          <w:sz w:val="20"/>
          <w:highlight w:val="yellow"/>
          <w:lang w:val="en-US"/>
        </w:rPr>
      </w:pPr>
      <w:r w:rsidRPr="002D3B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Pr>
          <w:sz w:val="20"/>
          <w:lang w:val="en-US"/>
        </w:rPr>
        <w:t>.</w:t>
      </w:r>
    </w:p>
    <w:p w:rsidR="00657498" w:rsidRPr="002D3BD6" w:rsidRDefault="00657498" w:rsidP="00657498">
      <w:pPr>
        <w:jc w:val="both"/>
        <w:rPr>
          <w:sz w:val="20"/>
          <w:highlight w:val="yellow"/>
          <w:lang w:val="en-US"/>
        </w:rPr>
      </w:pPr>
    </w:p>
    <w:p w:rsidR="00887D7E" w:rsidRDefault="00657498" w:rsidP="00887D7E">
      <w:pPr>
        <w:jc w:val="both"/>
        <w:rPr>
          <w:sz w:val="20"/>
          <w:lang w:val="en-US"/>
        </w:rPr>
      </w:pPr>
      <w:r w:rsidRPr="002D3BD6">
        <w:rPr>
          <w:sz w:val="20"/>
          <w:lang w:val="en-US"/>
        </w:rPr>
        <w:t xml:space="preserve">If Variable Annuities policies are split between two </w:t>
      </w:r>
      <w:r>
        <w:rPr>
          <w:sz w:val="20"/>
          <w:lang w:val="en-US"/>
        </w:rPr>
        <w:t>insurance undertakings</w:t>
      </w:r>
      <w:r w:rsidRPr="002D3BD6">
        <w:rPr>
          <w:sz w:val="20"/>
          <w:lang w:val="en-US"/>
        </w:rPr>
        <w:t xml:space="preserve">, for instance a life company and a non-life company for the </w:t>
      </w:r>
      <w:r w:rsidR="00131A90">
        <w:rPr>
          <w:sz w:val="20"/>
          <w:lang w:val="en-US"/>
        </w:rPr>
        <w:t>Variable Annuities</w:t>
      </w:r>
      <w:r w:rsidRPr="002D3BD6">
        <w:rPr>
          <w:sz w:val="20"/>
          <w:lang w:val="en-US"/>
        </w:rPr>
        <w:t xml:space="preserve"> guarantee, the company with the guarantee </w:t>
      </w:r>
      <w:r>
        <w:rPr>
          <w:sz w:val="20"/>
          <w:lang w:val="en-US"/>
        </w:rPr>
        <w:t>shall report</w:t>
      </w:r>
      <w:r w:rsidRPr="002D3BD6">
        <w:rPr>
          <w:sz w:val="20"/>
          <w:lang w:val="en-US"/>
        </w:rPr>
        <w:t xml:space="preserve"> this template. </w:t>
      </w:r>
      <w:r w:rsidR="00887D7E">
        <w:rPr>
          <w:sz w:val="20"/>
          <w:lang w:val="en-US"/>
        </w:rPr>
        <w:t xml:space="preserve">Only one line per product shall be reported. </w:t>
      </w:r>
    </w:p>
    <w:p w:rsidR="00473BB5" w:rsidRPr="00D62A2B" w:rsidRDefault="00473BB5" w:rsidP="00473BB5">
      <w:pPr>
        <w:rPr>
          <w:b/>
          <w:sz w:val="20"/>
          <w:lang w:val="en-US"/>
        </w:rPr>
      </w:pPr>
      <w:r w:rsidRPr="00D62A2B">
        <w:rPr>
          <w:b/>
          <w:sz w:val="20"/>
          <w:lang w:val="en-US"/>
        </w:rPr>
        <w:tab/>
      </w:r>
      <w:r w:rsidRPr="00D62A2B">
        <w:rPr>
          <w:b/>
          <w:sz w:val="20"/>
          <w:lang w:val="en-US"/>
        </w:rPr>
        <w:tab/>
      </w:r>
    </w:p>
    <w:tbl>
      <w:tblPr>
        <w:tblStyle w:val="TableGrid"/>
        <w:tblW w:w="0" w:type="auto"/>
        <w:tblLook w:val="04A0" w:firstRow="1" w:lastRow="0" w:firstColumn="1" w:lastColumn="0" w:noHBand="0" w:noVBand="1"/>
      </w:tblPr>
      <w:tblGrid>
        <w:gridCol w:w="1283"/>
        <w:gridCol w:w="1920"/>
        <w:gridCol w:w="6085"/>
      </w:tblGrid>
      <w:tr w:rsidR="00E125FE" w:rsidRPr="0037042E" w:rsidTr="00080AC5">
        <w:trPr>
          <w:trHeight w:val="315"/>
        </w:trPr>
        <w:tc>
          <w:tcPr>
            <w:tcW w:w="1283" w:type="dxa"/>
          </w:tcPr>
          <w:p w:rsidR="00E125FE" w:rsidRPr="00C25BDE" w:rsidRDefault="00E125FE" w:rsidP="00E30FD8">
            <w:pPr>
              <w:jc w:val="center"/>
              <w:rPr>
                <w:sz w:val="20"/>
              </w:rPr>
            </w:pPr>
          </w:p>
        </w:tc>
        <w:tc>
          <w:tcPr>
            <w:tcW w:w="1920" w:type="dxa"/>
          </w:tcPr>
          <w:p w:rsidR="00E125FE" w:rsidRPr="00C25BDE" w:rsidRDefault="00E125FE" w:rsidP="00E30FD8">
            <w:pPr>
              <w:jc w:val="center"/>
              <w:rPr>
                <w:sz w:val="20"/>
                <w:lang w:val="en-US"/>
              </w:rPr>
            </w:pPr>
            <w:r w:rsidRPr="00D62A2B">
              <w:rPr>
                <w:b/>
                <w:sz w:val="20"/>
              </w:rPr>
              <w:t>ITEM</w:t>
            </w:r>
          </w:p>
        </w:tc>
        <w:tc>
          <w:tcPr>
            <w:tcW w:w="6085" w:type="dxa"/>
          </w:tcPr>
          <w:p w:rsidR="00E125FE" w:rsidRDefault="00E125FE" w:rsidP="00E30FD8">
            <w:pPr>
              <w:jc w:val="center"/>
              <w:rPr>
                <w:sz w:val="20"/>
                <w:lang w:val="en-US"/>
              </w:rPr>
            </w:pPr>
            <w:r w:rsidRPr="00D62A2B">
              <w:rPr>
                <w:b/>
                <w:sz w:val="20"/>
              </w:rPr>
              <w:t>INSTRUCTIONS</w:t>
            </w:r>
          </w:p>
        </w:tc>
      </w:tr>
      <w:tr w:rsidR="00EC36FF" w:rsidRPr="0037042E" w:rsidTr="00080AC5">
        <w:trPr>
          <w:trHeight w:val="315"/>
        </w:trPr>
        <w:tc>
          <w:tcPr>
            <w:tcW w:w="1283" w:type="dxa"/>
            <w:hideMark/>
          </w:tcPr>
          <w:p w:rsidR="00EC36FF" w:rsidRPr="00C25BDE" w:rsidRDefault="00EC36FF" w:rsidP="00E30FD8">
            <w:pPr>
              <w:rPr>
                <w:sz w:val="20"/>
              </w:rPr>
            </w:pPr>
            <w:r w:rsidRPr="00C25BDE">
              <w:rPr>
                <w:sz w:val="20"/>
              </w:rPr>
              <w:t>C0010</w:t>
            </w:r>
          </w:p>
        </w:tc>
        <w:tc>
          <w:tcPr>
            <w:tcW w:w="1920" w:type="dxa"/>
            <w:hideMark/>
          </w:tcPr>
          <w:p w:rsidR="00EC36FF" w:rsidRPr="00C25BDE" w:rsidRDefault="00EC36FF" w:rsidP="00C25BDE">
            <w:pPr>
              <w:rPr>
                <w:sz w:val="20"/>
                <w:lang w:val="en-US"/>
              </w:rPr>
            </w:pPr>
            <w:r w:rsidRPr="00C25BDE">
              <w:rPr>
                <w:sz w:val="20"/>
                <w:lang w:val="en-US"/>
              </w:rPr>
              <w:t>Legal name of the undertaking</w:t>
            </w:r>
          </w:p>
        </w:tc>
        <w:tc>
          <w:tcPr>
            <w:tcW w:w="6085" w:type="dxa"/>
            <w:hideMark/>
          </w:tcPr>
          <w:p w:rsidR="00EC36FF" w:rsidRPr="00C25BDE" w:rsidRDefault="005F213F" w:rsidP="00080AC5">
            <w:pPr>
              <w:rPr>
                <w:sz w:val="20"/>
                <w:lang w:val="en-US"/>
              </w:rPr>
            </w:pPr>
            <w:r>
              <w:rPr>
                <w:sz w:val="20"/>
                <w:lang w:val="en-US"/>
              </w:rPr>
              <w:t>I</w:t>
            </w:r>
            <w:r w:rsidR="00EC36FF">
              <w:rPr>
                <w:sz w:val="20"/>
                <w:lang w:val="en-US"/>
              </w:rPr>
              <w:t xml:space="preserve">dentify </w:t>
            </w:r>
            <w:r w:rsidR="00080AC5">
              <w:rPr>
                <w:sz w:val="20"/>
                <w:lang w:val="en-US"/>
              </w:rPr>
              <w:t xml:space="preserve">the legal </w:t>
            </w:r>
            <w:r w:rsidR="00EC36FF" w:rsidRPr="002D3BD6">
              <w:rPr>
                <w:sz w:val="20"/>
                <w:lang w:val="en-US"/>
              </w:rPr>
              <w:t xml:space="preserve">name of non-EEA </w:t>
            </w:r>
            <w:r w:rsidR="00EC36FF">
              <w:rPr>
                <w:sz w:val="20"/>
                <w:lang w:val="en-US"/>
              </w:rPr>
              <w:t xml:space="preserve">undertaking </w:t>
            </w:r>
            <w:r w:rsidR="00EC36FF" w:rsidRPr="002D3BD6">
              <w:rPr>
                <w:sz w:val="20"/>
                <w:lang w:val="en-US"/>
              </w:rPr>
              <w:t xml:space="preserve">selling the product. </w:t>
            </w:r>
            <w:r w:rsidR="00EC36FF" w:rsidRPr="00C25BDE">
              <w:rPr>
                <w:sz w:val="20"/>
                <w:lang w:val="en-US"/>
              </w:rPr>
              <w:t xml:space="preserve"> </w:t>
            </w:r>
          </w:p>
        </w:tc>
      </w:tr>
      <w:tr w:rsidR="00080AC5" w:rsidRPr="00E04345" w:rsidTr="00080AC5">
        <w:trPr>
          <w:trHeight w:val="930"/>
        </w:trPr>
        <w:tc>
          <w:tcPr>
            <w:tcW w:w="1283" w:type="dxa"/>
          </w:tcPr>
          <w:p w:rsidR="00080AC5" w:rsidRPr="00D62A2B" w:rsidRDefault="00080AC5">
            <w:pPr>
              <w:rPr>
                <w:sz w:val="20"/>
              </w:rPr>
            </w:pPr>
            <w:r>
              <w:rPr>
                <w:sz w:val="20"/>
              </w:rPr>
              <w:t>C0020</w:t>
            </w:r>
          </w:p>
        </w:tc>
        <w:tc>
          <w:tcPr>
            <w:tcW w:w="1920" w:type="dxa"/>
          </w:tcPr>
          <w:p w:rsidR="00080AC5" w:rsidRDefault="00080AC5">
            <w:pPr>
              <w:rPr>
                <w:sz w:val="20"/>
              </w:rPr>
            </w:pPr>
            <w:r w:rsidRPr="00E84290">
              <w:rPr>
                <w:sz w:val="20"/>
              </w:rPr>
              <w:t>Identification code of the undertaking</w:t>
            </w:r>
          </w:p>
        </w:tc>
        <w:tc>
          <w:tcPr>
            <w:tcW w:w="6085" w:type="dxa"/>
          </w:tcPr>
          <w:p w:rsidR="00080AC5" w:rsidRPr="00C50609" w:rsidRDefault="00080AC5" w:rsidP="006E6C5F">
            <w:pPr>
              <w:rPr>
                <w:sz w:val="20"/>
                <w:lang w:val="en-US"/>
              </w:rPr>
            </w:pPr>
            <w:r w:rsidRPr="00033EF0">
              <w:rPr>
                <w:sz w:val="20"/>
                <w:lang w:eastAsia="en-GB"/>
              </w:rPr>
              <w:t>Identification code</w:t>
            </w:r>
            <w:r w:rsidRPr="00033EF0">
              <w:rPr>
                <w:sz w:val="20"/>
              </w:rPr>
              <w:t xml:space="preserve"> by this order of priority</w:t>
            </w:r>
            <w:bookmarkStart w:id="0" w:name="_GoBack"/>
            <w:bookmarkEnd w:id="0"/>
            <w:r w:rsidRPr="00033EF0">
              <w:rPr>
                <w:sz w:val="20"/>
                <w:lang w:eastAsia="en-GB"/>
              </w:rPr>
              <w:t xml:space="preserve">: </w:t>
            </w:r>
            <w:r w:rsidRPr="00033EF0">
              <w:rPr>
                <w:sz w:val="20"/>
                <w:lang w:eastAsia="en-GB"/>
              </w:rPr>
              <w:br/>
              <w:t xml:space="preserve">- Legal Entity Identifier (LEI); </w:t>
            </w:r>
            <w:r w:rsidRPr="00033EF0">
              <w:rPr>
                <w:sz w:val="20"/>
                <w:lang w:eastAsia="en-GB"/>
              </w:rPr>
              <w:br/>
              <w:t>- Specific code</w:t>
            </w:r>
            <w:r w:rsidRPr="00033EF0">
              <w:rPr>
                <w:sz w:val="20"/>
                <w:lang w:eastAsia="en-GB"/>
              </w:rPr>
              <w:br/>
            </w:r>
            <w:r w:rsidRPr="00033EF0">
              <w:rPr>
                <w:sz w:val="20"/>
                <w:lang w:eastAsia="en-GB"/>
              </w:rPr>
              <w:br/>
              <w:t xml:space="preserve">Specific code: </w:t>
            </w:r>
            <w:r w:rsidRPr="00033EF0">
              <w:rPr>
                <w:sz w:val="20"/>
                <w:lang w:eastAsia="en-GB"/>
              </w:rPr>
              <w:br/>
            </w:r>
            <w:r>
              <w:rPr>
                <w:sz w:val="20"/>
                <w:lang w:eastAsia="en-GB"/>
              </w:rPr>
              <w:t>I</w:t>
            </w:r>
            <w:r w:rsidRPr="00033EF0">
              <w:rPr>
                <w:sz w:val="20"/>
                <w:lang w:eastAsia="en-GB"/>
              </w:rPr>
              <w:t xml:space="preserve">dentification code will be provided by the group. When allocating an identification code to each non-EEA or non-regulated undertaking, </w:t>
            </w:r>
            <w:r>
              <w:rPr>
                <w:sz w:val="20"/>
                <w:lang w:eastAsia="en-GB"/>
              </w:rPr>
              <w:t>the group</w:t>
            </w:r>
            <w:r w:rsidRPr="00033EF0">
              <w:rPr>
                <w:sz w:val="20"/>
                <w:lang w:eastAsia="en-GB"/>
              </w:rPr>
              <w:t xml:space="preserve"> </w:t>
            </w:r>
            <w:r>
              <w:rPr>
                <w:sz w:val="20"/>
                <w:lang w:eastAsia="en-GB"/>
              </w:rPr>
              <w:t xml:space="preserve">shall </w:t>
            </w:r>
            <w:r w:rsidRPr="00033EF0">
              <w:rPr>
                <w:sz w:val="20"/>
                <w:lang w:eastAsia="en-GB"/>
              </w:rPr>
              <w:t xml:space="preserve">comply with the following format in a consistent manner: </w:t>
            </w:r>
            <w:r w:rsidRPr="00033EF0">
              <w:rPr>
                <w:sz w:val="20"/>
                <w:lang w:eastAsia="en-GB"/>
              </w:rPr>
              <w:br/>
              <w:t xml:space="preserve"> identification code of the parent undertaking + </w:t>
            </w:r>
            <w:r w:rsidRPr="00033EF0">
              <w:rPr>
                <w:sz w:val="20"/>
                <w:lang w:eastAsia="en-GB"/>
              </w:rPr>
              <w:br/>
              <w:t xml:space="preserve"> ISO 3166-1 alpha-2 code of the country of the undertaking + </w:t>
            </w:r>
            <w:r w:rsidRPr="00033EF0">
              <w:rPr>
                <w:sz w:val="20"/>
                <w:lang w:eastAsia="en-GB"/>
              </w:rPr>
              <w:br/>
              <w:t xml:space="preserve"> 5 digits</w:t>
            </w:r>
          </w:p>
        </w:tc>
      </w:tr>
      <w:tr w:rsidR="00080AC5" w:rsidRPr="00E04345" w:rsidTr="00080AC5">
        <w:trPr>
          <w:trHeight w:val="930"/>
        </w:trPr>
        <w:tc>
          <w:tcPr>
            <w:tcW w:w="1283" w:type="dxa"/>
          </w:tcPr>
          <w:p w:rsidR="00080AC5" w:rsidRPr="00D62A2B" w:rsidRDefault="00080AC5">
            <w:pPr>
              <w:rPr>
                <w:sz w:val="20"/>
              </w:rPr>
            </w:pPr>
            <w:r>
              <w:rPr>
                <w:sz w:val="20"/>
              </w:rPr>
              <w:t>C0030</w:t>
            </w:r>
          </w:p>
        </w:tc>
        <w:tc>
          <w:tcPr>
            <w:tcW w:w="1920" w:type="dxa"/>
          </w:tcPr>
          <w:p w:rsidR="00080AC5" w:rsidRDefault="00080AC5">
            <w:pPr>
              <w:rPr>
                <w:sz w:val="20"/>
              </w:rPr>
            </w:pPr>
            <w:r w:rsidRPr="00E84290">
              <w:rPr>
                <w:sz w:val="20"/>
              </w:rPr>
              <w:t>Type of code of the ID of the undertaking</w:t>
            </w:r>
          </w:p>
        </w:tc>
        <w:tc>
          <w:tcPr>
            <w:tcW w:w="6085" w:type="dxa"/>
          </w:tcPr>
          <w:p w:rsidR="00080AC5" w:rsidRPr="001A2773" w:rsidRDefault="00080AC5" w:rsidP="00B45EB3">
            <w:pPr>
              <w:spacing w:after="200" w:line="276" w:lineRule="auto"/>
              <w:rPr>
                <w:sz w:val="20"/>
              </w:rPr>
            </w:pPr>
            <w:r w:rsidRPr="001A2773">
              <w:rPr>
                <w:sz w:val="20"/>
              </w:rPr>
              <w:t>Type of ID Code used for the “Identification code of the undertaking” item. One of the options in the following closed list shall be used:</w:t>
            </w:r>
          </w:p>
          <w:p w:rsidR="00080AC5" w:rsidRPr="001A2773" w:rsidRDefault="00080AC5" w:rsidP="00B45EB3">
            <w:pPr>
              <w:rPr>
                <w:sz w:val="20"/>
                <w:lang w:val="pt-PT"/>
              </w:rPr>
            </w:pPr>
            <w:r w:rsidRPr="001A2773">
              <w:rPr>
                <w:sz w:val="20"/>
                <w:lang w:val="pt-PT"/>
              </w:rPr>
              <w:t xml:space="preserve">1 - LEI </w:t>
            </w:r>
          </w:p>
          <w:p w:rsidR="00080AC5" w:rsidRPr="00C50609" w:rsidRDefault="00080AC5" w:rsidP="004459F7">
            <w:pPr>
              <w:rPr>
                <w:sz w:val="20"/>
                <w:lang w:val="en-US"/>
              </w:rPr>
            </w:pPr>
            <w:r w:rsidRPr="001A2773">
              <w:rPr>
                <w:sz w:val="20"/>
                <w:lang w:val="pt-PT"/>
              </w:rPr>
              <w:t>2 - Specific code</w:t>
            </w:r>
          </w:p>
        </w:tc>
      </w:tr>
      <w:tr w:rsidR="00080AC5" w:rsidRPr="00E04345" w:rsidTr="00080AC5">
        <w:trPr>
          <w:trHeight w:val="930"/>
        </w:trPr>
        <w:tc>
          <w:tcPr>
            <w:tcW w:w="1283" w:type="dxa"/>
            <w:hideMark/>
          </w:tcPr>
          <w:p w:rsidR="00080AC5" w:rsidRPr="00D62A2B" w:rsidRDefault="00080AC5" w:rsidP="00E30FD8">
            <w:pPr>
              <w:rPr>
                <w:sz w:val="20"/>
              </w:rPr>
            </w:pPr>
            <w:r w:rsidRPr="00D62A2B">
              <w:rPr>
                <w:sz w:val="20"/>
              </w:rPr>
              <w:t>C00</w:t>
            </w:r>
            <w:r>
              <w:rPr>
                <w:sz w:val="20"/>
              </w:rPr>
              <w:t>4</w:t>
            </w:r>
            <w:r w:rsidRPr="00D62A2B">
              <w:rPr>
                <w:sz w:val="20"/>
              </w:rPr>
              <w:t>0</w:t>
            </w:r>
          </w:p>
        </w:tc>
        <w:tc>
          <w:tcPr>
            <w:tcW w:w="1920" w:type="dxa"/>
            <w:hideMark/>
          </w:tcPr>
          <w:p w:rsidR="00080AC5" w:rsidRPr="00D62A2B" w:rsidRDefault="00080AC5">
            <w:pPr>
              <w:rPr>
                <w:sz w:val="20"/>
              </w:rPr>
            </w:pPr>
            <w:r>
              <w:rPr>
                <w:sz w:val="20"/>
              </w:rPr>
              <w:t xml:space="preserve">Product </w:t>
            </w:r>
            <w:r w:rsidRPr="00D62A2B">
              <w:rPr>
                <w:sz w:val="20"/>
              </w:rPr>
              <w:t>ID code</w:t>
            </w:r>
          </w:p>
        </w:tc>
        <w:tc>
          <w:tcPr>
            <w:tcW w:w="6085" w:type="dxa"/>
            <w:hideMark/>
          </w:tcPr>
          <w:p w:rsidR="00080AC5" w:rsidRPr="00C50609" w:rsidRDefault="00080AC5" w:rsidP="004459F7">
            <w:pPr>
              <w:rPr>
                <w:sz w:val="20"/>
                <w:lang w:val="en-US"/>
              </w:rPr>
            </w:pPr>
            <w:r w:rsidRPr="00C50609">
              <w:rPr>
                <w:sz w:val="20"/>
                <w:lang w:val="en-US"/>
              </w:rPr>
              <w:t xml:space="preserve">Internal product ID code used by the undertaking for the product. If a code is already in use or is attributed by the competent authority for supervisory purposes that code shall be used. </w:t>
            </w:r>
          </w:p>
          <w:p w:rsidR="00080AC5" w:rsidRPr="00D62A2B" w:rsidRDefault="00080AC5" w:rsidP="001B3FA1">
            <w:pPr>
              <w:rPr>
                <w:sz w:val="20"/>
                <w:lang w:val="en-US"/>
              </w:rPr>
            </w:pPr>
            <w:r w:rsidRPr="00C50609">
              <w:rPr>
                <w:sz w:val="20"/>
                <w:lang w:val="en-US"/>
              </w:rPr>
              <w:t>The ID code shall be consistent over time</w:t>
            </w:r>
            <w:r>
              <w:rPr>
                <w:sz w:val="20"/>
                <w:lang w:val="en-US"/>
              </w:rPr>
              <w:t>.</w:t>
            </w:r>
          </w:p>
        </w:tc>
      </w:tr>
      <w:tr w:rsidR="00080AC5" w:rsidRPr="00E04345" w:rsidTr="00080AC5">
        <w:trPr>
          <w:trHeight w:val="585"/>
        </w:trPr>
        <w:tc>
          <w:tcPr>
            <w:tcW w:w="1283" w:type="dxa"/>
            <w:hideMark/>
          </w:tcPr>
          <w:p w:rsidR="00080AC5" w:rsidRPr="00D62A2B" w:rsidRDefault="00080AC5" w:rsidP="00E30FD8">
            <w:pPr>
              <w:rPr>
                <w:sz w:val="20"/>
              </w:rPr>
            </w:pPr>
            <w:r w:rsidRPr="00D62A2B">
              <w:rPr>
                <w:sz w:val="20"/>
              </w:rPr>
              <w:t>C00</w:t>
            </w:r>
            <w:r>
              <w:rPr>
                <w:sz w:val="20"/>
              </w:rPr>
              <w:t>5</w:t>
            </w:r>
            <w:r w:rsidRPr="00D62A2B">
              <w:rPr>
                <w:sz w:val="20"/>
              </w:rPr>
              <w:t>0</w:t>
            </w:r>
          </w:p>
        </w:tc>
        <w:tc>
          <w:tcPr>
            <w:tcW w:w="1920" w:type="dxa"/>
            <w:hideMark/>
          </w:tcPr>
          <w:p w:rsidR="00080AC5" w:rsidRPr="00D62A2B" w:rsidRDefault="00080AC5">
            <w:pPr>
              <w:rPr>
                <w:sz w:val="20"/>
              </w:rPr>
            </w:pPr>
            <w:r w:rsidRPr="00D62A2B">
              <w:rPr>
                <w:sz w:val="20"/>
              </w:rPr>
              <w:t>Product denomination</w:t>
            </w:r>
          </w:p>
        </w:tc>
        <w:tc>
          <w:tcPr>
            <w:tcW w:w="6085" w:type="dxa"/>
            <w:hideMark/>
          </w:tcPr>
          <w:p w:rsidR="00080AC5" w:rsidRPr="00D62A2B" w:rsidRDefault="00080AC5" w:rsidP="00E30FD8">
            <w:pPr>
              <w:rPr>
                <w:sz w:val="20"/>
                <w:lang w:val="en-US"/>
              </w:rPr>
            </w:pPr>
            <w:r w:rsidRPr="00F776D7">
              <w:rPr>
                <w:sz w:val="20"/>
                <w:lang w:val="en-US"/>
              </w:rPr>
              <w:t>Commercial name of product (undertaking-specific)</w:t>
            </w:r>
          </w:p>
        </w:tc>
      </w:tr>
      <w:tr w:rsidR="00080AC5" w:rsidRPr="00E04345" w:rsidTr="00080AC5">
        <w:trPr>
          <w:trHeight w:val="2321"/>
        </w:trPr>
        <w:tc>
          <w:tcPr>
            <w:tcW w:w="1283" w:type="dxa"/>
            <w:hideMark/>
          </w:tcPr>
          <w:p w:rsidR="00080AC5" w:rsidRPr="00D62A2B" w:rsidRDefault="00080AC5" w:rsidP="00E30FD8">
            <w:pPr>
              <w:rPr>
                <w:sz w:val="20"/>
              </w:rPr>
            </w:pPr>
            <w:r w:rsidRPr="00D62A2B">
              <w:rPr>
                <w:sz w:val="20"/>
              </w:rPr>
              <w:t>C00</w:t>
            </w:r>
            <w:r>
              <w:rPr>
                <w:sz w:val="20"/>
              </w:rPr>
              <w:t>6</w:t>
            </w:r>
            <w:r w:rsidRPr="00D62A2B">
              <w:rPr>
                <w:sz w:val="20"/>
              </w:rPr>
              <w:t>0</w:t>
            </w:r>
          </w:p>
        </w:tc>
        <w:tc>
          <w:tcPr>
            <w:tcW w:w="1920" w:type="dxa"/>
            <w:hideMark/>
          </w:tcPr>
          <w:p w:rsidR="00080AC5" w:rsidRPr="00D62A2B" w:rsidRDefault="00080AC5">
            <w:pPr>
              <w:rPr>
                <w:sz w:val="20"/>
              </w:rPr>
            </w:pPr>
            <w:r w:rsidRPr="00D62A2B">
              <w:rPr>
                <w:sz w:val="20"/>
              </w:rPr>
              <w:t xml:space="preserve">Type of </w:t>
            </w:r>
            <w:r>
              <w:rPr>
                <w:sz w:val="20"/>
              </w:rPr>
              <w:t>hedging</w:t>
            </w:r>
          </w:p>
        </w:tc>
        <w:tc>
          <w:tcPr>
            <w:tcW w:w="6085" w:type="dxa"/>
            <w:hideMark/>
          </w:tcPr>
          <w:p w:rsidR="00080AC5" w:rsidRDefault="00080AC5" w:rsidP="00BE3A69">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No</w:t>
            </w:r>
            <w:r>
              <w:rPr>
                <w:sz w:val="20"/>
                <w:lang w:val="en-US"/>
              </w:rPr>
              <w:t xml:space="preserve"> hedging</w:t>
            </w:r>
            <w:r w:rsidRPr="00D62A2B">
              <w:rPr>
                <w:sz w:val="20"/>
                <w:lang w:val="en-US"/>
              </w:rPr>
              <w:br/>
              <w:t xml:space="preserve">  2 </w:t>
            </w:r>
            <w:r>
              <w:rPr>
                <w:sz w:val="20"/>
                <w:lang w:val="en-US"/>
              </w:rPr>
              <w:t>–</w:t>
            </w:r>
            <w:r w:rsidRPr="00D62A2B">
              <w:rPr>
                <w:sz w:val="20"/>
                <w:lang w:val="en-US"/>
              </w:rPr>
              <w:t xml:space="preserve"> Dynamic</w:t>
            </w:r>
            <w:r>
              <w:rPr>
                <w:sz w:val="20"/>
                <w:lang w:val="en-US"/>
              </w:rPr>
              <w:t xml:space="preserve"> hedging</w:t>
            </w:r>
            <w:r w:rsidRPr="00D62A2B">
              <w:rPr>
                <w:sz w:val="20"/>
                <w:lang w:val="en-US"/>
              </w:rPr>
              <w:br/>
              <w:t xml:space="preserve">  3 </w:t>
            </w:r>
            <w:r>
              <w:rPr>
                <w:sz w:val="20"/>
                <w:lang w:val="en-US"/>
              </w:rPr>
              <w:t>–</w:t>
            </w:r>
            <w:r w:rsidRPr="00D62A2B">
              <w:rPr>
                <w:sz w:val="20"/>
                <w:lang w:val="en-US"/>
              </w:rPr>
              <w:t xml:space="preserve"> Static</w:t>
            </w:r>
            <w:r>
              <w:rPr>
                <w:sz w:val="20"/>
                <w:lang w:val="en-US"/>
              </w:rPr>
              <w:t xml:space="preserve"> hedging</w:t>
            </w:r>
            <w:r w:rsidRPr="00D62A2B">
              <w:rPr>
                <w:sz w:val="20"/>
                <w:lang w:val="en-US"/>
              </w:rPr>
              <w:br/>
              <w:t xml:space="preserve">  4 - Ad hoc</w:t>
            </w:r>
            <w:r>
              <w:rPr>
                <w:sz w:val="20"/>
                <w:lang w:val="en-US"/>
              </w:rPr>
              <w:t xml:space="preserve"> hedging</w:t>
            </w:r>
            <w:r w:rsidRPr="00D62A2B">
              <w:rPr>
                <w:sz w:val="20"/>
                <w:lang w:val="en-US"/>
              </w:rPr>
              <w:br/>
            </w:r>
          </w:p>
          <w:p w:rsidR="00080AC5" w:rsidRPr="00D62A2B" w:rsidRDefault="00080AC5" w:rsidP="00BE3A69">
            <w:pPr>
              <w:rPr>
                <w:sz w:val="20"/>
                <w:lang w:val="en-US"/>
              </w:rPr>
            </w:pPr>
            <w:r w:rsidRPr="00D62A2B">
              <w:rPr>
                <w:sz w:val="20"/>
                <w:lang w:val="en-US"/>
              </w:rPr>
              <w:t>Dynamic hedging is frequently rebalanced; static hedging is made of “standard” derivatives but not frequently rebalanced; ad hoc hedging is made of financial products structured for the specific purpose of hedging those liabilities.</w:t>
            </w:r>
          </w:p>
        </w:tc>
      </w:tr>
      <w:tr w:rsidR="00080AC5" w:rsidRPr="00E04345" w:rsidTr="00080AC5">
        <w:trPr>
          <w:trHeight w:val="2220"/>
        </w:trPr>
        <w:tc>
          <w:tcPr>
            <w:tcW w:w="1283" w:type="dxa"/>
            <w:hideMark/>
          </w:tcPr>
          <w:p w:rsidR="00080AC5" w:rsidRPr="00D62A2B" w:rsidRDefault="00080AC5" w:rsidP="00E30FD8">
            <w:pPr>
              <w:rPr>
                <w:sz w:val="20"/>
              </w:rPr>
            </w:pPr>
            <w:r w:rsidRPr="00D62A2B">
              <w:rPr>
                <w:sz w:val="20"/>
              </w:rPr>
              <w:lastRenderedPageBreak/>
              <w:t>C00</w:t>
            </w:r>
            <w:r>
              <w:rPr>
                <w:sz w:val="20"/>
              </w:rPr>
              <w:t>7</w:t>
            </w:r>
            <w:r w:rsidRPr="00D62A2B">
              <w:rPr>
                <w:sz w:val="20"/>
              </w:rPr>
              <w:t>0</w:t>
            </w:r>
          </w:p>
        </w:tc>
        <w:tc>
          <w:tcPr>
            <w:tcW w:w="1920" w:type="dxa"/>
            <w:hideMark/>
          </w:tcPr>
          <w:p w:rsidR="00080AC5" w:rsidRPr="00D62A2B" w:rsidRDefault="00080AC5">
            <w:pPr>
              <w:rPr>
                <w:sz w:val="20"/>
              </w:rPr>
            </w:pPr>
            <w:r w:rsidRPr="00D62A2B">
              <w:rPr>
                <w:sz w:val="20"/>
              </w:rPr>
              <w:t>Delta hedged</w:t>
            </w:r>
          </w:p>
        </w:tc>
        <w:tc>
          <w:tcPr>
            <w:tcW w:w="6085" w:type="dxa"/>
            <w:hideMark/>
          </w:tcPr>
          <w:p w:rsidR="00080AC5" w:rsidRDefault="00080AC5" w:rsidP="00BE3A69">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Delta hedged</w:t>
            </w:r>
            <w:r w:rsidRPr="00D62A2B">
              <w:rPr>
                <w:sz w:val="20"/>
                <w:lang w:val="en-US"/>
              </w:rPr>
              <w:br/>
              <w:t xml:space="preserve">  2 </w:t>
            </w:r>
            <w:r>
              <w:rPr>
                <w:sz w:val="20"/>
                <w:lang w:val="en-US"/>
              </w:rPr>
              <w:t>–</w:t>
            </w:r>
            <w:r w:rsidRPr="00D62A2B">
              <w:rPr>
                <w:sz w:val="20"/>
                <w:lang w:val="en-US"/>
              </w:rPr>
              <w:t xml:space="preserve"> </w:t>
            </w:r>
            <w:r>
              <w:rPr>
                <w:sz w:val="20"/>
                <w:lang w:val="en-US"/>
              </w:rPr>
              <w:t>Delta not hedged</w:t>
            </w:r>
            <w:r w:rsidRPr="00D62A2B">
              <w:rPr>
                <w:sz w:val="20"/>
                <w:lang w:val="en-US"/>
              </w:rPr>
              <w:br/>
              <w:t xml:space="preserve">  3 </w:t>
            </w:r>
            <w:r>
              <w:rPr>
                <w:sz w:val="20"/>
                <w:lang w:val="en-US"/>
              </w:rPr>
              <w:t>–</w:t>
            </w:r>
            <w:r w:rsidRPr="00D62A2B">
              <w:rPr>
                <w:sz w:val="20"/>
                <w:lang w:val="en-US"/>
              </w:rPr>
              <w:t xml:space="preserve"> </w:t>
            </w:r>
            <w:r>
              <w:rPr>
                <w:sz w:val="20"/>
                <w:lang w:val="en-US"/>
              </w:rPr>
              <w:t>Delta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Guarantee n</w:t>
            </w:r>
            <w:r w:rsidRPr="00D62A2B">
              <w:rPr>
                <w:sz w:val="20"/>
                <w:lang w:val="en-US"/>
              </w:rPr>
              <w:t>ot sensitive</w:t>
            </w:r>
            <w:r>
              <w:rPr>
                <w:sz w:val="20"/>
                <w:lang w:val="en-US"/>
              </w:rPr>
              <w:t xml:space="preserve"> to delta</w:t>
            </w:r>
            <w:r w:rsidRPr="00D62A2B">
              <w:rPr>
                <w:sz w:val="20"/>
                <w:lang w:val="en-US"/>
              </w:rPr>
              <w:t>.</w:t>
            </w:r>
            <w:r w:rsidRPr="00D62A2B">
              <w:rPr>
                <w:sz w:val="20"/>
                <w:lang w:val="en-US"/>
              </w:rPr>
              <w:br/>
            </w:r>
          </w:p>
          <w:p w:rsidR="00080AC5" w:rsidRPr="00D62A2B" w:rsidRDefault="00080AC5" w:rsidP="00BE3A69">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Pr="00D62A2B" w:rsidRDefault="00080AC5" w:rsidP="00E30FD8">
            <w:pPr>
              <w:rPr>
                <w:sz w:val="20"/>
              </w:rPr>
            </w:pPr>
            <w:r w:rsidRPr="00D62A2B">
              <w:rPr>
                <w:sz w:val="20"/>
              </w:rPr>
              <w:t>C00</w:t>
            </w:r>
            <w:r>
              <w:rPr>
                <w:sz w:val="20"/>
              </w:rPr>
              <w:t>8</w:t>
            </w:r>
            <w:r w:rsidRPr="00D62A2B">
              <w:rPr>
                <w:sz w:val="20"/>
              </w:rPr>
              <w:t>0</w:t>
            </w:r>
          </w:p>
        </w:tc>
        <w:tc>
          <w:tcPr>
            <w:tcW w:w="1920" w:type="dxa"/>
            <w:hideMark/>
          </w:tcPr>
          <w:p w:rsidR="00080AC5" w:rsidRPr="00D62A2B" w:rsidRDefault="00080AC5">
            <w:pPr>
              <w:rPr>
                <w:sz w:val="20"/>
              </w:rPr>
            </w:pPr>
            <w:r w:rsidRPr="00D62A2B">
              <w:rPr>
                <w:sz w:val="20"/>
              </w:rPr>
              <w:t>Rho hedged</w:t>
            </w:r>
          </w:p>
        </w:tc>
        <w:tc>
          <w:tcPr>
            <w:tcW w:w="6085" w:type="dxa"/>
            <w:hideMark/>
          </w:tcPr>
          <w:p w:rsidR="00080AC5" w:rsidRDefault="00080AC5" w:rsidP="00846A0A">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Rho hedged</w:t>
            </w:r>
            <w:r w:rsidRPr="00D62A2B">
              <w:rPr>
                <w:sz w:val="20"/>
                <w:lang w:val="en-US"/>
              </w:rPr>
              <w:br/>
              <w:t xml:space="preserve">  2 </w:t>
            </w:r>
            <w:r>
              <w:rPr>
                <w:sz w:val="20"/>
                <w:lang w:val="en-US"/>
              </w:rPr>
              <w:t>–</w:t>
            </w:r>
            <w:r w:rsidRPr="00D62A2B">
              <w:rPr>
                <w:sz w:val="20"/>
                <w:lang w:val="en-US"/>
              </w:rPr>
              <w:t xml:space="preserve"> </w:t>
            </w:r>
            <w:r>
              <w:rPr>
                <w:sz w:val="20"/>
                <w:lang w:val="en-US"/>
              </w:rPr>
              <w:t>Rho not hedged</w:t>
            </w:r>
            <w:r w:rsidRPr="00D62A2B">
              <w:rPr>
                <w:sz w:val="20"/>
                <w:lang w:val="en-US"/>
              </w:rPr>
              <w:br/>
              <w:t xml:space="preserve">  3 </w:t>
            </w:r>
            <w:r>
              <w:rPr>
                <w:sz w:val="20"/>
                <w:lang w:val="en-US"/>
              </w:rPr>
              <w:t>–</w:t>
            </w:r>
            <w:r w:rsidRPr="00D62A2B">
              <w:rPr>
                <w:sz w:val="20"/>
                <w:lang w:val="en-US"/>
              </w:rPr>
              <w:t xml:space="preserve"> </w:t>
            </w:r>
            <w:r>
              <w:rPr>
                <w:sz w:val="20"/>
                <w:lang w:val="en-US"/>
              </w:rPr>
              <w:t>Rho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Guarantee n</w:t>
            </w:r>
            <w:r w:rsidRPr="00D62A2B">
              <w:rPr>
                <w:sz w:val="20"/>
                <w:lang w:val="en-US"/>
              </w:rPr>
              <w:t>ot sensitive</w:t>
            </w:r>
            <w:r>
              <w:rPr>
                <w:sz w:val="20"/>
                <w:lang w:val="en-US"/>
              </w:rPr>
              <w:t xml:space="preserve"> to rho</w:t>
            </w:r>
            <w:r w:rsidRPr="00D62A2B">
              <w:rPr>
                <w:sz w:val="20"/>
                <w:lang w:val="en-US"/>
              </w:rPr>
              <w:t>.</w:t>
            </w:r>
            <w:r w:rsidRPr="00D62A2B">
              <w:rPr>
                <w:sz w:val="20"/>
                <w:lang w:val="en-US"/>
              </w:rPr>
              <w:br/>
            </w:r>
          </w:p>
          <w:p w:rsidR="00080AC5" w:rsidRPr="00D62A2B" w:rsidRDefault="00080AC5" w:rsidP="00846A0A">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Pr="00D62A2B" w:rsidRDefault="00080AC5" w:rsidP="00E30FD8">
            <w:pPr>
              <w:rPr>
                <w:sz w:val="20"/>
              </w:rPr>
            </w:pPr>
            <w:r w:rsidRPr="00D62A2B">
              <w:rPr>
                <w:sz w:val="20"/>
              </w:rPr>
              <w:t>C00</w:t>
            </w:r>
            <w:r>
              <w:rPr>
                <w:sz w:val="20"/>
              </w:rPr>
              <w:t>9</w:t>
            </w:r>
            <w:r w:rsidRPr="00D62A2B">
              <w:rPr>
                <w:sz w:val="20"/>
              </w:rPr>
              <w:t>0</w:t>
            </w:r>
          </w:p>
        </w:tc>
        <w:tc>
          <w:tcPr>
            <w:tcW w:w="1920" w:type="dxa"/>
            <w:hideMark/>
          </w:tcPr>
          <w:p w:rsidR="00080AC5" w:rsidRPr="00D62A2B" w:rsidRDefault="00080AC5">
            <w:pPr>
              <w:rPr>
                <w:sz w:val="20"/>
              </w:rPr>
            </w:pPr>
            <w:r w:rsidRPr="00D62A2B">
              <w:rPr>
                <w:sz w:val="20"/>
              </w:rPr>
              <w:t>Gamma hedged</w:t>
            </w:r>
          </w:p>
        </w:tc>
        <w:tc>
          <w:tcPr>
            <w:tcW w:w="6085" w:type="dxa"/>
            <w:hideMark/>
          </w:tcPr>
          <w:p w:rsidR="00080AC5" w:rsidRDefault="00080AC5" w:rsidP="004733DB">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Gamma hedged</w:t>
            </w:r>
            <w:r w:rsidRPr="00D62A2B">
              <w:rPr>
                <w:sz w:val="20"/>
                <w:lang w:val="en-US"/>
              </w:rPr>
              <w:br/>
              <w:t xml:space="preserve">  2 </w:t>
            </w:r>
            <w:r>
              <w:rPr>
                <w:sz w:val="20"/>
                <w:lang w:val="en-US"/>
              </w:rPr>
              <w:t>–</w:t>
            </w:r>
            <w:r w:rsidRPr="00D62A2B">
              <w:rPr>
                <w:sz w:val="20"/>
                <w:lang w:val="en-US"/>
              </w:rPr>
              <w:t xml:space="preserve"> </w:t>
            </w:r>
            <w:r>
              <w:rPr>
                <w:sz w:val="20"/>
                <w:lang w:val="en-US"/>
              </w:rPr>
              <w:t>Gamma not hedged</w:t>
            </w:r>
            <w:r w:rsidRPr="00D62A2B">
              <w:rPr>
                <w:sz w:val="20"/>
                <w:lang w:val="en-US"/>
              </w:rPr>
              <w:br/>
              <w:t xml:space="preserve">  3 </w:t>
            </w:r>
            <w:r>
              <w:rPr>
                <w:sz w:val="20"/>
                <w:lang w:val="en-US"/>
              </w:rPr>
              <w:t>–</w:t>
            </w:r>
            <w:r w:rsidRPr="00D62A2B">
              <w:rPr>
                <w:sz w:val="20"/>
                <w:lang w:val="en-US"/>
              </w:rPr>
              <w:t xml:space="preserve"> </w:t>
            </w:r>
            <w:r>
              <w:rPr>
                <w:sz w:val="20"/>
                <w:lang w:val="en-US"/>
              </w:rPr>
              <w:t>Gamma partially hedged</w:t>
            </w:r>
            <w:r w:rsidRPr="00D62A2B">
              <w:rPr>
                <w:sz w:val="20"/>
                <w:lang w:val="en-US"/>
              </w:rPr>
              <w:br/>
              <w:t xml:space="preserve">  4 </w:t>
            </w:r>
            <w:r>
              <w:rPr>
                <w:sz w:val="20"/>
                <w:lang w:val="en-US"/>
              </w:rPr>
              <w:t>– Guarantee not sensitive to gamma</w:t>
            </w:r>
            <w:r w:rsidRPr="00D62A2B">
              <w:rPr>
                <w:sz w:val="20"/>
                <w:lang w:val="en-US"/>
              </w:rPr>
              <w:br/>
            </w:r>
          </w:p>
          <w:p w:rsidR="00080AC5" w:rsidRPr="00D62A2B" w:rsidRDefault="00080AC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Pr="00D62A2B" w:rsidRDefault="00080AC5" w:rsidP="00E30FD8">
            <w:pPr>
              <w:rPr>
                <w:sz w:val="20"/>
              </w:rPr>
            </w:pPr>
            <w:r w:rsidRPr="00D62A2B">
              <w:rPr>
                <w:sz w:val="20"/>
              </w:rPr>
              <w:t>C0</w:t>
            </w:r>
            <w:r>
              <w:rPr>
                <w:sz w:val="20"/>
              </w:rPr>
              <w:t>10</w:t>
            </w:r>
            <w:r w:rsidRPr="00D62A2B">
              <w:rPr>
                <w:sz w:val="20"/>
              </w:rPr>
              <w:t>0</w:t>
            </w:r>
          </w:p>
        </w:tc>
        <w:tc>
          <w:tcPr>
            <w:tcW w:w="1920" w:type="dxa"/>
            <w:hideMark/>
          </w:tcPr>
          <w:p w:rsidR="00080AC5" w:rsidRPr="00D62A2B" w:rsidRDefault="00080AC5">
            <w:pPr>
              <w:rPr>
                <w:sz w:val="20"/>
              </w:rPr>
            </w:pPr>
            <w:r w:rsidRPr="00D62A2B">
              <w:rPr>
                <w:sz w:val="20"/>
              </w:rPr>
              <w:t>Vega hedged</w:t>
            </w:r>
          </w:p>
        </w:tc>
        <w:tc>
          <w:tcPr>
            <w:tcW w:w="6085" w:type="dxa"/>
            <w:hideMark/>
          </w:tcPr>
          <w:p w:rsidR="00080AC5" w:rsidRDefault="00080AC5" w:rsidP="004733DB">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Vega hedged</w:t>
            </w:r>
            <w:r w:rsidRPr="00D62A2B">
              <w:rPr>
                <w:sz w:val="20"/>
                <w:lang w:val="en-US"/>
              </w:rPr>
              <w:br/>
              <w:t xml:space="preserve">  2 </w:t>
            </w:r>
            <w:r>
              <w:rPr>
                <w:sz w:val="20"/>
                <w:lang w:val="en-US"/>
              </w:rPr>
              <w:t>–</w:t>
            </w:r>
            <w:r w:rsidRPr="00D62A2B">
              <w:rPr>
                <w:sz w:val="20"/>
                <w:lang w:val="en-US"/>
              </w:rPr>
              <w:t xml:space="preserve"> </w:t>
            </w:r>
            <w:r>
              <w:rPr>
                <w:sz w:val="20"/>
                <w:lang w:val="en-US"/>
              </w:rPr>
              <w:t>Vega not hedged</w:t>
            </w:r>
            <w:r w:rsidRPr="00D62A2B">
              <w:rPr>
                <w:sz w:val="20"/>
                <w:lang w:val="en-US"/>
              </w:rPr>
              <w:br/>
              <w:t xml:space="preserve">  3 </w:t>
            </w:r>
            <w:r>
              <w:rPr>
                <w:sz w:val="20"/>
                <w:lang w:val="en-US"/>
              </w:rPr>
              <w:t>–</w:t>
            </w:r>
            <w:r w:rsidRPr="00D62A2B">
              <w:rPr>
                <w:sz w:val="20"/>
                <w:lang w:val="en-US"/>
              </w:rPr>
              <w:t xml:space="preserve"> </w:t>
            </w:r>
            <w:r>
              <w:rPr>
                <w:sz w:val="20"/>
                <w:lang w:val="en-US"/>
              </w:rPr>
              <w:t>Vega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 xml:space="preserve">Guarantee not sensitive to </w:t>
            </w:r>
            <w:proofErr w:type="spellStart"/>
            <w:r>
              <w:rPr>
                <w:sz w:val="20"/>
                <w:lang w:val="en-US"/>
              </w:rPr>
              <w:t>vega</w:t>
            </w:r>
            <w:proofErr w:type="spellEnd"/>
            <w:r w:rsidRPr="00D62A2B">
              <w:rPr>
                <w:sz w:val="20"/>
                <w:lang w:val="en-US"/>
              </w:rPr>
              <w:br/>
            </w:r>
          </w:p>
          <w:p w:rsidR="00080AC5" w:rsidRPr="00D62A2B" w:rsidRDefault="00080AC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2130"/>
        </w:trPr>
        <w:tc>
          <w:tcPr>
            <w:tcW w:w="1283" w:type="dxa"/>
            <w:hideMark/>
          </w:tcPr>
          <w:p w:rsidR="00080AC5" w:rsidRPr="00D62A2B" w:rsidRDefault="00080AC5" w:rsidP="00E30FD8">
            <w:pPr>
              <w:rPr>
                <w:sz w:val="20"/>
              </w:rPr>
            </w:pPr>
            <w:r w:rsidRPr="00D62A2B">
              <w:rPr>
                <w:sz w:val="20"/>
              </w:rPr>
              <w:t>C0</w:t>
            </w:r>
            <w:r>
              <w:rPr>
                <w:sz w:val="20"/>
              </w:rPr>
              <w:t>11</w:t>
            </w:r>
            <w:r w:rsidRPr="00D62A2B">
              <w:rPr>
                <w:sz w:val="20"/>
              </w:rPr>
              <w:t>0</w:t>
            </w:r>
          </w:p>
        </w:tc>
        <w:tc>
          <w:tcPr>
            <w:tcW w:w="1920" w:type="dxa"/>
            <w:hideMark/>
          </w:tcPr>
          <w:p w:rsidR="00080AC5" w:rsidRPr="00D62A2B" w:rsidRDefault="00080AC5">
            <w:pPr>
              <w:rPr>
                <w:sz w:val="20"/>
              </w:rPr>
            </w:pPr>
            <w:r w:rsidRPr="00D62A2B">
              <w:rPr>
                <w:sz w:val="20"/>
              </w:rPr>
              <w:t>FX hedged</w:t>
            </w:r>
          </w:p>
        </w:tc>
        <w:tc>
          <w:tcPr>
            <w:tcW w:w="6085" w:type="dxa"/>
            <w:hideMark/>
          </w:tcPr>
          <w:p w:rsidR="00080AC5" w:rsidRDefault="00080AC5" w:rsidP="004733DB">
            <w:pPr>
              <w:rPr>
                <w:sz w:val="20"/>
                <w:lang w:val="en-US"/>
              </w:rPr>
            </w:pPr>
            <w:r w:rsidRPr="00D62A2B">
              <w:rPr>
                <w:sz w:val="20"/>
                <w:lang w:val="en-US"/>
              </w:rPr>
              <w:t>The following closed list shall be used:</w:t>
            </w:r>
            <w:r w:rsidRPr="00D62A2B">
              <w:rPr>
                <w:sz w:val="20"/>
                <w:lang w:val="en-US"/>
              </w:rPr>
              <w:br/>
              <w:t xml:space="preserve">  1 </w:t>
            </w:r>
            <w:r>
              <w:rPr>
                <w:sz w:val="20"/>
                <w:lang w:val="en-US"/>
              </w:rPr>
              <w:t>–</w:t>
            </w:r>
            <w:r w:rsidRPr="00D62A2B">
              <w:rPr>
                <w:sz w:val="20"/>
                <w:lang w:val="en-US"/>
              </w:rPr>
              <w:t xml:space="preserve"> </w:t>
            </w:r>
            <w:r>
              <w:rPr>
                <w:sz w:val="20"/>
                <w:lang w:val="en-US"/>
              </w:rPr>
              <w:t>FX hedged</w:t>
            </w:r>
            <w:r w:rsidRPr="00D62A2B">
              <w:rPr>
                <w:sz w:val="20"/>
                <w:lang w:val="en-US"/>
              </w:rPr>
              <w:br/>
              <w:t xml:space="preserve">  2 </w:t>
            </w:r>
            <w:r>
              <w:rPr>
                <w:sz w:val="20"/>
                <w:lang w:val="en-US"/>
              </w:rPr>
              <w:t>–</w:t>
            </w:r>
            <w:r w:rsidRPr="00D62A2B">
              <w:rPr>
                <w:sz w:val="20"/>
                <w:lang w:val="en-US"/>
              </w:rPr>
              <w:t xml:space="preserve"> </w:t>
            </w:r>
            <w:r>
              <w:rPr>
                <w:sz w:val="20"/>
                <w:lang w:val="en-US"/>
              </w:rPr>
              <w:t>FX not hedged</w:t>
            </w:r>
            <w:r w:rsidRPr="00D62A2B">
              <w:rPr>
                <w:sz w:val="20"/>
                <w:lang w:val="en-US"/>
              </w:rPr>
              <w:br/>
              <w:t xml:space="preserve">  3 </w:t>
            </w:r>
            <w:r>
              <w:rPr>
                <w:sz w:val="20"/>
                <w:lang w:val="en-US"/>
              </w:rPr>
              <w:t>–</w:t>
            </w:r>
            <w:r w:rsidRPr="00D62A2B">
              <w:rPr>
                <w:sz w:val="20"/>
                <w:lang w:val="en-US"/>
              </w:rPr>
              <w:t xml:space="preserve"> </w:t>
            </w:r>
            <w:r>
              <w:rPr>
                <w:sz w:val="20"/>
                <w:lang w:val="en-US"/>
              </w:rPr>
              <w:t>FX partially hedged</w:t>
            </w:r>
            <w:r w:rsidRPr="00D62A2B">
              <w:rPr>
                <w:sz w:val="20"/>
                <w:lang w:val="en-US"/>
              </w:rPr>
              <w:br/>
              <w:t xml:space="preserve">  4 </w:t>
            </w:r>
            <w:r>
              <w:rPr>
                <w:sz w:val="20"/>
                <w:lang w:val="en-US"/>
              </w:rPr>
              <w:t>–</w:t>
            </w:r>
            <w:r w:rsidRPr="00D62A2B">
              <w:rPr>
                <w:sz w:val="20"/>
                <w:lang w:val="en-US"/>
              </w:rPr>
              <w:t xml:space="preserve"> </w:t>
            </w:r>
            <w:r>
              <w:rPr>
                <w:sz w:val="20"/>
                <w:lang w:val="en-US"/>
              </w:rPr>
              <w:t>Guarantee not sensitive to FX</w:t>
            </w:r>
            <w:r w:rsidRPr="00D62A2B">
              <w:rPr>
                <w:sz w:val="20"/>
                <w:lang w:val="en-US"/>
              </w:rPr>
              <w:br/>
            </w:r>
          </w:p>
          <w:p w:rsidR="00080AC5" w:rsidRPr="00D62A2B" w:rsidRDefault="00080AC5" w:rsidP="004733DB">
            <w:pPr>
              <w:rPr>
                <w:sz w:val="20"/>
                <w:lang w:val="en-US"/>
              </w:rPr>
            </w:pPr>
            <w:r w:rsidRPr="00D62A2B">
              <w:rPr>
                <w:sz w:val="20"/>
                <w:lang w:val="en-US"/>
              </w:rPr>
              <w:t>Partial means that the strategy is not intended to cover the whole risk. Not sensitive is to be selected if the guarantee sold is deemed independent from the risk factor.</w:t>
            </w:r>
          </w:p>
        </w:tc>
      </w:tr>
      <w:tr w:rsidR="00080AC5" w:rsidRPr="00E04345" w:rsidTr="00080AC5">
        <w:trPr>
          <w:trHeight w:val="315"/>
        </w:trPr>
        <w:tc>
          <w:tcPr>
            <w:tcW w:w="1283" w:type="dxa"/>
            <w:hideMark/>
          </w:tcPr>
          <w:p w:rsidR="00080AC5" w:rsidRPr="00D62A2B" w:rsidRDefault="00080AC5" w:rsidP="00E30FD8">
            <w:pPr>
              <w:rPr>
                <w:sz w:val="20"/>
              </w:rPr>
            </w:pPr>
            <w:r w:rsidRPr="00D62A2B">
              <w:rPr>
                <w:sz w:val="20"/>
              </w:rPr>
              <w:t>C01</w:t>
            </w:r>
            <w:r>
              <w:rPr>
                <w:sz w:val="20"/>
              </w:rPr>
              <w:t>2</w:t>
            </w:r>
            <w:r w:rsidRPr="00D62A2B">
              <w:rPr>
                <w:sz w:val="20"/>
              </w:rPr>
              <w:t>0</w:t>
            </w:r>
          </w:p>
        </w:tc>
        <w:tc>
          <w:tcPr>
            <w:tcW w:w="1920" w:type="dxa"/>
            <w:hideMark/>
          </w:tcPr>
          <w:p w:rsidR="00080AC5" w:rsidRPr="00D62A2B" w:rsidRDefault="00080AC5">
            <w:pPr>
              <w:rPr>
                <w:sz w:val="20"/>
              </w:rPr>
            </w:pPr>
            <w:r w:rsidRPr="00D62A2B">
              <w:rPr>
                <w:sz w:val="20"/>
              </w:rPr>
              <w:t>Other hedged risks</w:t>
            </w:r>
          </w:p>
        </w:tc>
        <w:tc>
          <w:tcPr>
            <w:tcW w:w="6085" w:type="dxa"/>
            <w:hideMark/>
          </w:tcPr>
          <w:p w:rsidR="00080AC5" w:rsidRPr="00D62A2B" w:rsidRDefault="00080AC5" w:rsidP="000033CD">
            <w:pPr>
              <w:rPr>
                <w:sz w:val="20"/>
                <w:lang w:val="en-US"/>
              </w:rPr>
            </w:pPr>
            <w:r w:rsidRPr="00D62A2B">
              <w:rPr>
                <w:sz w:val="20"/>
                <w:lang w:val="en-US"/>
              </w:rPr>
              <w:t>If other risks are hedged</w:t>
            </w:r>
            <w:r>
              <w:rPr>
                <w:sz w:val="20"/>
                <w:lang w:val="en-US"/>
              </w:rPr>
              <w:t xml:space="preserve"> specify</w:t>
            </w:r>
            <w:r w:rsidRPr="00D62A2B">
              <w:rPr>
                <w:sz w:val="20"/>
                <w:lang w:val="en-US"/>
              </w:rPr>
              <w:t xml:space="preserve"> their names </w:t>
            </w:r>
          </w:p>
        </w:tc>
      </w:tr>
      <w:tr w:rsidR="00080AC5" w:rsidRPr="00E04345" w:rsidTr="00080AC5">
        <w:trPr>
          <w:trHeight w:val="1883"/>
        </w:trPr>
        <w:tc>
          <w:tcPr>
            <w:tcW w:w="1283" w:type="dxa"/>
            <w:hideMark/>
          </w:tcPr>
          <w:p w:rsidR="00080AC5" w:rsidRPr="00D62A2B" w:rsidRDefault="00080AC5" w:rsidP="00E30FD8">
            <w:pPr>
              <w:rPr>
                <w:sz w:val="20"/>
              </w:rPr>
            </w:pPr>
            <w:r w:rsidRPr="00D62A2B">
              <w:rPr>
                <w:sz w:val="20"/>
              </w:rPr>
              <w:t>C01</w:t>
            </w:r>
            <w:r>
              <w:rPr>
                <w:sz w:val="20"/>
              </w:rPr>
              <w:t>3</w:t>
            </w:r>
            <w:r w:rsidRPr="00D62A2B">
              <w:rPr>
                <w:sz w:val="20"/>
              </w:rPr>
              <w:t>0</w:t>
            </w:r>
          </w:p>
        </w:tc>
        <w:tc>
          <w:tcPr>
            <w:tcW w:w="1920" w:type="dxa"/>
            <w:hideMark/>
          </w:tcPr>
          <w:p w:rsidR="00080AC5" w:rsidRPr="00D62A2B" w:rsidRDefault="00080AC5">
            <w:pPr>
              <w:rPr>
                <w:sz w:val="20"/>
              </w:rPr>
            </w:pPr>
            <w:r w:rsidRPr="00D62A2B">
              <w:rPr>
                <w:sz w:val="20"/>
              </w:rPr>
              <w:t>Economic result without hedging</w:t>
            </w:r>
          </w:p>
        </w:tc>
        <w:tc>
          <w:tcPr>
            <w:tcW w:w="6085" w:type="dxa"/>
            <w:hideMark/>
          </w:tcPr>
          <w:p w:rsidR="00080AC5" w:rsidRPr="00D62A2B" w:rsidRDefault="00080AC5" w:rsidP="00E52B75">
            <w:pPr>
              <w:rPr>
                <w:sz w:val="20"/>
                <w:lang w:val="en-US"/>
              </w:rPr>
            </w:pPr>
            <w:r w:rsidRPr="00D62A2B">
              <w:rPr>
                <w:sz w:val="20"/>
                <w:lang w:val="en-US"/>
              </w:rPr>
              <w:t xml:space="preserve">The “economic result” the guarantee of the policies have generated during the </w:t>
            </w:r>
            <w:r>
              <w:rPr>
                <w:sz w:val="20"/>
                <w:lang w:val="en-US"/>
              </w:rPr>
              <w:t>reporting</w:t>
            </w:r>
            <w:r w:rsidRPr="00D62A2B">
              <w:rPr>
                <w:sz w:val="20"/>
                <w:lang w:val="en-US"/>
              </w:rPr>
              <w:t xml:space="preserve"> year if there is no hedging strategy in place, or would have generated without it if there is one in place. </w:t>
            </w:r>
          </w:p>
          <w:p w:rsidR="00080AC5" w:rsidRPr="00D62A2B" w:rsidRDefault="00080AC5" w:rsidP="000033CD">
            <w:pPr>
              <w:rPr>
                <w:sz w:val="20"/>
                <w:lang w:val="en-US"/>
              </w:rPr>
            </w:pPr>
            <w:r w:rsidRPr="00D62A2B">
              <w:rPr>
                <w:sz w:val="20"/>
                <w:lang w:val="en-US"/>
              </w:rPr>
              <w:t>It shall be equal to</w:t>
            </w:r>
            <w:proofErr w:type="gramStart"/>
            <w:r w:rsidRPr="00D62A2B">
              <w:rPr>
                <w:sz w:val="20"/>
                <w:lang w:val="en-US"/>
              </w:rPr>
              <w:t>:</w:t>
            </w:r>
            <w:proofErr w:type="gramEnd"/>
            <w:r w:rsidRPr="00D62A2B">
              <w:rPr>
                <w:sz w:val="20"/>
                <w:lang w:val="en-US"/>
              </w:rPr>
              <w:br/>
              <w:t>+ written premium/fees for the guarantee</w:t>
            </w:r>
            <w:r>
              <w:rPr>
                <w:sz w:val="20"/>
                <w:lang w:val="en-US"/>
              </w:rPr>
              <w:t>, minus</w:t>
            </w:r>
            <w:r w:rsidRPr="00D62A2B">
              <w:rPr>
                <w:sz w:val="20"/>
                <w:lang w:val="en-US"/>
              </w:rPr>
              <w:br/>
              <w:t>- expenses</w:t>
            </w:r>
            <w:r>
              <w:rPr>
                <w:sz w:val="20"/>
                <w:lang w:val="en-US"/>
              </w:rPr>
              <w:t xml:space="preserve"> </w:t>
            </w:r>
            <w:r w:rsidRPr="00D62A2B">
              <w:rPr>
                <w:sz w:val="20"/>
                <w:lang w:val="en-US"/>
              </w:rPr>
              <w:t>incurred to the guarantee</w:t>
            </w:r>
            <w:r>
              <w:rPr>
                <w:sz w:val="20"/>
                <w:lang w:val="en-US"/>
              </w:rPr>
              <w:t>, minus</w:t>
            </w:r>
            <w:r w:rsidRPr="00D62A2B">
              <w:rPr>
                <w:sz w:val="20"/>
                <w:lang w:val="en-US"/>
              </w:rPr>
              <w:br/>
              <w:t>- claims due to the guarantee</w:t>
            </w:r>
            <w:r>
              <w:rPr>
                <w:sz w:val="20"/>
                <w:lang w:val="en-US"/>
              </w:rPr>
              <w:t>, minus</w:t>
            </w:r>
            <w:r w:rsidRPr="00D62A2B">
              <w:rPr>
                <w:sz w:val="20"/>
                <w:lang w:val="en-US"/>
              </w:rPr>
              <w:br/>
              <w:t xml:space="preserve">- variation of guarantee </w:t>
            </w:r>
            <w:r>
              <w:rPr>
                <w:sz w:val="20"/>
                <w:lang w:val="en-US"/>
              </w:rPr>
              <w:t>technical provisions.</w:t>
            </w:r>
          </w:p>
        </w:tc>
      </w:tr>
      <w:tr w:rsidR="00080AC5" w:rsidRPr="00E04345" w:rsidTr="00080AC5">
        <w:trPr>
          <w:trHeight w:val="1488"/>
        </w:trPr>
        <w:tc>
          <w:tcPr>
            <w:tcW w:w="1283" w:type="dxa"/>
            <w:hideMark/>
          </w:tcPr>
          <w:p w:rsidR="00080AC5" w:rsidRPr="00D62A2B" w:rsidRDefault="00080AC5" w:rsidP="00E30FD8">
            <w:pPr>
              <w:rPr>
                <w:sz w:val="20"/>
              </w:rPr>
            </w:pPr>
            <w:r w:rsidRPr="00D62A2B">
              <w:rPr>
                <w:sz w:val="20"/>
              </w:rPr>
              <w:lastRenderedPageBreak/>
              <w:t>C01</w:t>
            </w:r>
            <w:r>
              <w:rPr>
                <w:sz w:val="20"/>
              </w:rPr>
              <w:t>4</w:t>
            </w:r>
            <w:r w:rsidRPr="00D62A2B">
              <w:rPr>
                <w:sz w:val="20"/>
              </w:rPr>
              <w:t>0</w:t>
            </w:r>
          </w:p>
        </w:tc>
        <w:tc>
          <w:tcPr>
            <w:tcW w:w="1920" w:type="dxa"/>
            <w:hideMark/>
          </w:tcPr>
          <w:p w:rsidR="00080AC5" w:rsidRPr="00D62A2B" w:rsidRDefault="00080AC5">
            <w:pPr>
              <w:rPr>
                <w:sz w:val="20"/>
              </w:rPr>
            </w:pPr>
            <w:r w:rsidRPr="00D62A2B">
              <w:rPr>
                <w:sz w:val="20"/>
              </w:rPr>
              <w:t>Economic result with hedging</w:t>
            </w:r>
          </w:p>
        </w:tc>
        <w:tc>
          <w:tcPr>
            <w:tcW w:w="6085" w:type="dxa"/>
            <w:hideMark/>
          </w:tcPr>
          <w:p w:rsidR="00080AC5" w:rsidRPr="00D62A2B" w:rsidRDefault="00080AC5" w:rsidP="004733DB">
            <w:pPr>
              <w:rPr>
                <w:sz w:val="20"/>
                <w:lang w:val="en-US"/>
              </w:rPr>
            </w:pPr>
            <w:r>
              <w:rPr>
                <w:sz w:val="20"/>
                <w:lang w:val="en-US"/>
              </w:rPr>
              <w:t>The “economic result” the guarantee of the policies have generated during the reporting year considering the result of the hedging strategy</w:t>
            </w:r>
            <w:r w:rsidRPr="00D62A2B">
              <w:rPr>
                <w:sz w:val="20"/>
                <w:lang w:val="en-US"/>
              </w:rPr>
              <w:t>. Where hedging is performed for a portfolio of products, for instance in cases where hedge instruments may not be allocated to specific products, the undertaking sh</w:t>
            </w:r>
            <w:r>
              <w:rPr>
                <w:sz w:val="20"/>
                <w:lang w:val="en-US"/>
              </w:rPr>
              <w:t>all</w:t>
            </w:r>
            <w:r w:rsidRPr="00D62A2B">
              <w:rPr>
                <w:sz w:val="20"/>
                <w:lang w:val="en-US"/>
              </w:rPr>
              <w:t xml:space="preserve"> allocate the effect of hedging to the different products using the weight of each product in the “Economic result without hedging” (C0110).  </w:t>
            </w:r>
          </w:p>
        </w:tc>
      </w:tr>
    </w:tbl>
    <w:p w:rsidR="00473BB5" w:rsidRPr="00D62A2B" w:rsidRDefault="00473BB5" w:rsidP="00E30FD8">
      <w:pPr>
        <w:rPr>
          <w:b/>
          <w:sz w:val="20"/>
          <w:lang w:val="en-US"/>
        </w:rPr>
      </w:pPr>
    </w:p>
    <w:sectPr w:rsidR="00473BB5" w:rsidRPr="00D62A2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73BB5"/>
    <w:rsid w:val="000033CD"/>
    <w:rsid w:val="0002553E"/>
    <w:rsid w:val="00080AC5"/>
    <w:rsid w:val="000924DB"/>
    <w:rsid w:val="000D62EC"/>
    <w:rsid w:val="00131A90"/>
    <w:rsid w:val="00131CFE"/>
    <w:rsid w:val="001B3FA1"/>
    <w:rsid w:val="001B4B10"/>
    <w:rsid w:val="00261BAE"/>
    <w:rsid w:val="002A1662"/>
    <w:rsid w:val="002A6E34"/>
    <w:rsid w:val="00360479"/>
    <w:rsid w:val="004459F7"/>
    <w:rsid w:val="004733DB"/>
    <w:rsid w:val="00473BB5"/>
    <w:rsid w:val="005C3765"/>
    <w:rsid w:val="005C7B18"/>
    <w:rsid w:val="005F213F"/>
    <w:rsid w:val="00605748"/>
    <w:rsid w:val="00657498"/>
    <w:rsid w:val="006E6C5F"/>
    <w:rsid w:val="00713A1E"/>
    <w:rsid w:val="00777E08"/>
    <w:rsid w:val="007D0FDD"/>
    <w:rsid w:val="008371D8"/>
    <w:rsid w:val="00846A0A"/>
    <w:rsid w:val="00887D7E"/>
    <w:rsid w:val="00941F5A"/>
    <w:rsid w:val="00973F0D"/>
    <w:rsid w:val="009C0F38"/>
    <w:rsid w:val="00AF6187"/>
    <w:rsid w:val="00B80940"/>
    <w:rsid w:val="00BE3A69"/>
    <w:rsid w:val="00C50609"/>
    <w:rsid w:val="00C931A6"/>
    <w:rsid w:val="00CC5D0A"/>
    <w:rsid w:val="00D62A2B"/>
    <w:rsid w:val="00D95E1E"/>
    <w:rsid w:val="00DC4748"/>
    <w:rsid w:val="00E04345"/>
    <w:rsid w:val="00E125FE"/>
    <w:rsid w:val="00E30FD8"/>
    <w:rsid w:val="00E52B75"/>
    <w:rsid w:val="00EC36FF"/>
    <w:rsid w:val="00F22097"/>
    <w:rsid w:val="00F31E7D"/>
    <w:rsid w:val="00F776D7"/>
    <w:rsid w:val="00FE6A5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73B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1B3FA1"/>
    <w:rPr>
      <w:rFonts w:ascii="Tahoma" w:hAnsi="Tahoma" w:cs="Tahoma"/>
      <w:sz w:val="16"/>
      <w:szCs w:val="16"/>
    </w:rPr>
  </w:style>
  <w:style w:type="character" w:customStyle="1" w:styleId="BalloonTextChar">
    <w:name w:val="Balloon Text Char"/>
    <w:basedOn w:val="DefaultParagraphFont"/>
    <w:link w:val="BalloonText"/>
    <w:rsid w:val="001B3FA1"/>
    <w:rPr>
      <w:rFonts w:ascii="Tahoma" w:hAnsi="Tahoma" w:cs="Tahoma"/>
      <w:sz w:val="16"/>
      <w:szCs w:val="16"/>
    </w:rPr>
  </w:style>
  <w:style w:type="character" w:styleId="CommentReference">
    <w:name w:val="annotation reference"/>
    <w:basedOn w:val="DefaultParagraphFont"/>
    <w:rsid w:val="00657498"/>
    <w:rPr>
      <w:sz w:val="16"/>
      <w:szCs w:val="16"/>
    </w:rPr>
  </w:style>
  <w:style w:type="paragraph" w:styleId="CommentText">
    <w:name w:val="annotation text"/>
    <w:basedOn w:val="Normal"/>
    <w:link w:val="CommentTextChar"/>
    <w:rsid w:val="00657498"/>
    <w:rPr>
      <w:sz w:val="20"/>
    </w:rPr>
  </w:style>
  <w:style w:type="character" w:customStyle="1" w:styleId="CommentTextChar">
    <w:name w:val="Comment Text Char"/>
    <w:basedOn w:val="DefaultParagraphFont"/>
    <w:link w:val="CommentText"/>
    <w:rsid w:val="00657498"/>
  </w:style>
  <w:style w:type="paragraph" w:styleId="ListParagraph">
    <w:name w:val="List Paragraph"/>
    <w:basedOn w:val="Normal"/>
    <w:uiPriority w:val="34"/>
    <w:qFormat/>
    <w:rsid w:val="00B80940"/>
    <w:pPr>
      <w:ind w:left="720"/>
      <w:contextualSpacing/>
    </w:pPr>
  </w:style>
  <w:style w:type="paragraph" w:styleId="CommentSubject">
    <w:name w:val="annotation subject"/>
    <w:basedOn w:val="CommentText"/>
    <w:next w:val="CommentText"/>
    <w:link w:val="CommentSubjectChar"/>
    <w:rsid w:val="00EC36FF"/>
    <w:rPr>
      <w:b/>
      <w:bCs/>
    </w:rPr>
  </w:style>
  <w:style w:type="character" w:customStyle="1" w:styleId="CommentSubjectChar">
    <w:name w:val="Comment Subject Char"/>
    <w:basedOn w:val="CommentTextChar"/>
    <w:link w:val="CommentSubject"/>
    <w:rsid w:val="00EC36FF"/>
    <w:rPr>
      <w:b/>
      <w:bCs/>
    </w:rPr>
  </w:style>
  <w:style w:type="paragraph" w:styleId="Revision">
    <w:name w:val="Revision"/>
    <w:hidden/>
    <w:uiPriority w:val="99"/>
    <w:semiHidden/>
    <w:rsid w:val="00EC36F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544520">
      <w:bodyDiv w:val="1"/>
      <w:marLeft w:val="0"/>
      <w:marRight w:val="0"/>
      <w:marTop w:val="0"/>
      <w:marBottom w:val="0"/>
      <w:divBdr>
        <w:top w:val="none" w:sz="0" w:space="0" w:color="auto"/>
        <w:left w:val="none" w:sz="0" w:space="0" w:color="auto"/>
        <w:bottom w:val="none" w:sz="0" w:space="0" w:color="auto"/>
        <w:right w:val="none" w:sz="0" w:space="0" w:color="auto"/>
      </w:divBdr>
    </w:div>
    <w:div w:id="814224753">
      <w:bodyDiv w:val="1"/>
      <w:marLeft w:val="0"/>
      <w:marRight w:val="0"/>
      <w:marTop w:val="0"/>
      <w:marBottom w:val="0"/>
      <w:divBdr>
        <w:top w:val="none" w:sz="0" w:space="0" w:color="auto"/>
        <w:left w:val="none" w:sz="0" w:space="0" w:color="auto"/>
        <w:bottom w:val="none" w:sz="0" w:space="0" w:color="auto"/>
        <w:right w:val="none" w:sz="0" w:space="0" w:color="auto"/>
      </w:divBdr>
    </w:div>
    <w:div w:id="1157497293">
      <w:bodyDiv w:val="1"/>
      <w:marLeft w:val="0"/>
      <w:marRight w:val="0"/>
      <w:marTop w:val="0"/>
      <w:marBottom w:val="0"/>
      <w:divBdr>
        <w:top w:val="none" w:sz="0" w:space="0" w:color="auto"/>
        <w:left w:val="none" w:sz="0" w:space="0" w:color="auto"/>
        <w:bottom w:val="none" w:sz="0" w:space="0" w:color="auto"/>
        <w:right w:val="none" w:sz="0" w:space="0" w:color="auto"/>
      </w:divBdr>
    </w:div>
    <w:div w:id="1460877641">
      <w:bodyDiv w:val="1"/>
      <w:marLeft w:val="0"/>
      <w:marRight w:val="0"/>
      <w:marTop w:val="0"/>
      <w:marBottom w:val="0"/>
      <w:divBdr>
        <w:top w:val="none" w:sz="0" w:space="0" w:color="auto"/>
        <w:left w:val="none" w:sz="0" w:space="0" w:color="auto"/>
        <w:bottom w:val="none" w:sz="0" w:space="0" w:color="auto"/>
        <w:right w:val="none" w:sz="0" w:space="0" w:color="auto"/>
      </w:divBdr>
    </w:div>
    <w:div w:id="1614169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862</Words>
  <Characters>4491</Characters>
  <Application>Microsoft Office Word</Application>
  <DocSecurity>0</DocSecurity>
  <Lines>37</Lines>
  <Paragraphs>10</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5343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4</cp:revision>
  <dcterms:created xsi:type="dcterms:W3CDTF">2015-07-01T09:26:00Z</dcterms:created>
  <dcterms:modified xsi:type="dcterms:W3CDTF">2015-08-14T08:34:00Z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-173575033</vt:i4>
  </property>
  <property fmtid="{D5CDD505-2E9C-101B-9397-08002B2CF9AE}" pid="3" name="_NewReviewCycle">
    <vt:lpwstr/>
  </property>
  <property fmtid="{D5CDD505-2E9C-101B-9397-08002B2CF9AE}" pid="4" name="_EmailSubject">
    <vt:lpwstr>TP LIfe and TP Non Life templates set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-503353664</vt:i4>
  </property>
  <property fmtid="{D5CDD505-2E9C-101B-9397-08002B2CF9AE}" pid="8" name="_ReviewingToolsShownOnce">
    <vt:lpwstr/>
  </property>
</Properties>
</file>